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8B39" w14:textId="2892DF94" w:rsidR="006763A5" w:rsidRPr="006D2239" w:rsidRDefault="00D25982" w:rsidP="00D25982">
      <w:pPr>
        <w:jc w:val="center"/>
        <w:rPr>
          <w:b/>
          <w:bCs/>
        </w:rPr>
      </w:pPr>
      <w:r w:rsidRPr="006D2239">
        <w:rPr>
          <w:b/>
          <w:bCs/>
        </w:rPr>
        <w:t>COLLEGE OF REHABILITATION SCIENCES</w:t>
      </w:r>
    </w:p>
    <w:p w14:paraId="2597F7F3" w14:textId="75A1D043" w:rsidR="00D25982" w:rsidRPr="006D2239" w:rsidRDefault="00D25982" w:rsidP="00D25982">
      <w:pPr>
        <w:jc w:val="center"/>
        <w:rPr>
          <w:b/>
          <w:bCs/>
        </w:rPr>
      </w:pPr>
      <w:r w:rsidRPr="006D2239">
        <w:rPr>
          <w:b/>
          <w:bCs/>
        </w:rPr>
        <w:t>DEPARTMENT OF PHYSICAL THERAPY</w:t>
      </w:r>
    </w:p>
    <w:p w14:paraId="5BBF9BBD" w14:textId="0B25C8ED" w:rsidR="00D25982" w:rsidRDefault="00D25982" w:rsidP="00D25982">
      <w:pPr>
        <w:jc w:val="center"/>
        <w:rPr>
          <w:b/>
          <w:bCs/>
        </w:rPr>
      </w:pPr>
      <w:r w:rsidRPr="006D2239">
        <w:rPr>
          <w:b/>
          <w:bCs/>
        </w:rPr>
        <w:t>CLINICAL EDUCATION ACP EXPECTATIONS</w:t>
      </w:r>
    </w:p>
    <w:p w14:paraId="4399EFFC" w14:textId="77777777" w:rsidR="00684C73" w:rsidRPr="006D2239" w:rsidRDefault="00684C73" w:rsidP="00D25982">
      <w:pPr>
        <w:jc w:val="center"/>
        <w:rPr>
          <w:b/>
          <w:bCs/>
        </w:rPr>
      </w:pPr>
    </w:p>
    <w:p w14:paraId="427D1309" w14:textId="13C62E25" w:rsidR="006D2239" w:rsidRDefault="00A76D42" w:rsidP="00D25982">
      <w:r>
        <w:t xml:space="preserve">When grading your students ACP, there are a few key documents to use for assisting in scoring. Look to the rating scale and anchor descriptors (p. 4 of the ACP) as well as the ACP Grading </w:t>
      </w:r>
      <w:r w:rsidR="00374F9E">
        <w:t xml:space="preserve">Resource </w:t>
      </w:r>
      <w:r>
        <w:t>rubric for assistance with the non-expert domains of the ACP.</w:t>
      </w:r>
      <w:r w:rsidR="00374F9E">
        <w:t xml:space="preserve"> </w:t>
      </w:r>
      <w:r>
        <w:t>We have also put together a table below to guide you as to the</w:t>
      </w:r>
      <w:r w:rsidR="00374F9E">
        <w:t xml:space="preserve"> U of M,</w:t>
      </w:r>
      <w:r>
        <w:t xml:space="preserve"> MPT program’s expectations of where students should be for each of their placements. </w:t>
      </w:r>
      <w:r w:rsidR="00684C73" w:rsidRPr="00374F9E">
        <w:t>Concern about student performance arises when the</w:t>
      </w:r>
      <w:r w:rsidR="00684C73" w:rsidRPr="00B24237">
        <w:rPr>
          <w:b/>
          <w:bCs/>
        </w:rPr>
        <w:t xml:space="preserve"> average rank across all </w:t>
      </w:r>
      <w:r w:rsidR="002B381A">
        <w:rPr>
          <w:b/>
          <w:bCs/>
        </w:rPr>
        <w:t>18</w:t>
      </w:r>
      <w:r w:rsidR="00684C73" w:rsidRPr="00B24237">
        <w:rPr>
          <w:b/>
          <w:bCs/>
        </w:rPr>
        <w:t xml:space="preserve"> questions of the ACP falls at or below the cutoffs listed below</w:t>
      </w:r>
      <w:r w:rsidR="00684C73">
        <w:t xml:space="preserve">. </w:t>
      </w:r>
    </w:p>
    <w:p w14:paraId="32B1EBF7" w14:textId="77777777" w:rsidR="00977FDB" w:rsidRDefault="00977FDB" w:rsidP="00977FDB">
      <w:r>
        <w:t xml:space="preserve">For any student whose average score is below the cutoffs identified, clinicians should reach out to the Academic Coordinator of Clinical Education as soon as possible. Students should also be made aware that they are not meeting expectations prior to the evaluations to allow for an opportunity to improve. Continuous feedback, student reflection and evening preparation as well as goal setting are integral for a successful placement. </w:t>
      </w:r>
    </w:p>
    <w:p w14:paraId="6300D9D7" w14:textId="77777777" w:rsidR="00977FDB" w:rsidRDefault="00977FDB" w:rsidP="00D25982"/>
    <w:p w14:paraId="583A59B9" w14:textId="13D4E954" w:rsidR="00FB2462" w:rsidRDefault="002522D0" w:rsidP="00D25982">
      <w:r w:rsidRPr="002522D0">
        <w:rPr>
          <w:noProof/>
        </w:rPr>
        <w:drawing>
          <wp:inline distT="0" distB="0" distL="0" distR="0" wp14:anchorId="6A080A13" wp14:editId="35B38916">
            <wp:extent cx="5943600" cy="702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02945"/>
                    </a:xfrm>
                    <a:prstGeom prst="rect">
                      <a:avLst/>
                    </a:prstGeom>
                  </pic:spPr>
                </pic:pic>
              </a:graphicData>
            </a:graphic>
          </wp:inline>
        </w:drawing>
      </w:r>
    </w:p>
    <w:p w14:paraId="04D76CF8" w14:textId="4721A6BE" w:rsidR="00111B19" w:rsidRDefault="00111B19" w:rsidP="00D25982">
      <w:pPr>
        <w:rPr>
          <w:b/>
          <w:bCs/>
        </w:rPr>
      </w:pPr>
      <w:r w:rsidRPr="00111B19">
        <w:rPr>
          <w:b/>
          <w:bCs/>
        </w:rPr>
        <w:t xml:space="preserve">Cut off points for concerns about credit with reservation or no credit (failure) are as follows: </w:t>
      </w:r>
    </w:p>
    <w:tbl>
      <w:tblPr>
        <w:tblStyle w:val="TableGrid"/>
        <w:tblW w:w="9350" w:type="dxa"/>
        <w:tblLook w:val="04A0" w:firstRow="1" w:lastRow="0" w:firstColumn="1" w:lastColumn="0" w:noHBand="0" w:noVBand="1"/>
      </w:tblPr>
      <w:tblGrid>
        <w:gridCol w:w="1208"/>
        <w:gridCol w:w="2445"/>
        <w:gridCol w:w="2790"/>
        <w:gridCol w:w="2907"/>
      </w:tblGrid>
      <w:tr w:rsidR="0011686D" w:rsidRPr="0005790F" w14:paraId="20503A6C" w14:textId="77777777" w:rsidTr="7A165A13">
        <w:tc>
          <w:tcPr>
            <w:tcW w:w="1208" w:type="dxa"/>
            <w:shd w:val="clear" w:color="auto" w:fill="C5E0B3" w:themeFill="accent6" w:themeFillTint="66"/>
          </w:tcPr>
          <w:p w14:paraId="1CF7807A" w14:textId="77777777" w:rsidR="00770A86" w:rsidRPr="0005790F" w:rsidRDefault="00770A86" w:rsidP="008554F9">
            <w:pPr>
              <w:rPr>
                <w:b/>
                <w:bCs/>
              </w:rPr>
            </w:pPr>
            <w:r w:rsidRPr="0005790F">
              <w:rPr>
                <w:b/>
                <w:bCs/>
              </w:rPr>
              <w:t>Placement</w:t>
            </w:r>
          </w:p>
        </w:tc>
        <w:tc>
          <w:tcPr>
            <w:tcW w:w="2445" w:type="dxa"/>
            <w:shd w:val="clear" w:color="auto" w:fill="C5E0B3" w:themeFill="accent6" w:themeFillTint="66"/>
          </w:tcPr>
          <w:p w14:paraId="5E08774D" w14:textId="4DA44C85" w:rsidR="00770A86" w:rsidRPr="0005790F" w:rsidRDefault="00770A86" w:rsidP="008554F9">
            <w:pPr>
              <w:rPr>
                <w:b/>
                <w:bCs/>
              </w:rPr>
            </w:pPr>
            <w:r>
              <w:rPr>
                <w:b/>
                <w:bCs/>
              </w:rPr>
              <w:t xml:space="preserve"> Final </w:t>
            </w:r>
            <w:r w:rsidR="00D6127E">
              <w:rPr>
                <w:b/>
                <w:bCs/>
              </w:rPr>
              <w:t>– achieves credit</w:t>
            </w:r>
          </w:p>
        </w:tc>
        <w:tc>
          <w:tcPr>
            <w:tcW w:w="2790" w:type="dxa"/>
            <w:shd w:val="clear" w:color="auto" w:fill="F4B083" w:themeFill="accent2" w:themeFillTint="99"/>
          </w:tcPr>
          <w:p w14:paraId="05D59A8B" w14:textId="77777777" w:rsidR="00770A86" w:rsidRPr="0005790F" w:rsidRDefault="00770A86" w:rsidP="008554F9">
            <w:pPr>
              <w:rPr>
                <w:b/>
                <w:bCs/>
              </w:rPr>
            </w:pPr>
            <w:r w:rsidRPr="0005790F">
              <w:rPr>
                <w:b/>
                <w:bCs/>
              </w:rPr>
              <w:t xml:space="preserve">Midterm </w:t>
            </w:r>
            <w:r>
              <w:rPr>
                <w:b/>
                <w:bCs/>
              </w:rPr>
              <w:t>Red Flags</w:t>
            </w:r>
          </w:p>
        </w:tc>
        <w:tc>
          <w:tcPr>
            <w:tcW w:w="2907" w:type="dxa"/>
            <w:shd w:val="clear" w:color="auto" w:fill="F4B083" w:themeFill="accent2" w:themeFillTint="99"/>
          </w:tcPr>
          <w:p w14:paraId="6E968A9A" w14:textId="4847BFF7" w:rsidR="00770A86" w:rsidRPr="0005790F" w:rsidRDefault="00770A86" w:rsidP="008554F9">
            <w:pPr>
              <w:rPr>
                <w:b/>
                <w:bCs/>
              </w:rPr>
            </w:pPr>
            <w:r w:rsidRPr="0005790F">
              <w:rPr>
                <w:b/>
                <w:bCs/>
              </w:rPr>
              <w:t xml:space="preserve">Final </w:t>
            </w:r>
            <w:r>
              <w:rPr>
                <w:b/>
                <w:bCs/>
              </w:rPr>
              <w:t>–</w:t>
            </w:r>
            <w:r w:rsidR="00D6127E">
              <w:rPr>
                <w:b/>
                <w:bCs/>
              </w:rPr>
              <w:t xml:space="preserve"> credit with</w:t>
            </w:r>
            <w:r>
              <w:rPr>
                <w:b/>
                <w:bCs/>
              </w:rPr>
              <w:t xml:space="preserve"> reservation</w:t>
            </w:r>
          </w:p>
        </w:tc>
      </w:tr>
      <w:tr w:rsidR="0011686D" w14:paraId="41FAE3DA" w14:textId="77777777" w:rsidTr="7A165A13">
        <w:tc>
          <w:tcPr>
            <w:tcW w:w="1208" w:type="dxa"/>
            <w:shd w:val="clear" w:color="auto" w:fill="auto"/>
          </w:tcPr>
          <w:p w14:paraId="40DDFA1B" w14:textId="506A56B0" w:rsidR="00770A86" w:rsidRPr="0005790F" w:rsidRDefault="0011686D" w:rsidP="008554F9">
            <w:pPr>
              <w:rPr>
                <w:b/>
                <w:bCs/>
              </w:rPr>
            </w:pPr>
            <w:r>
              <w:rPr>
                <w:b/>
                <w:bCs/>
              </w:rPr>
              <w:t>1 – MPT 1 spring</w:t>
            </w:r>
          </w:p>
        </w:tc>
        <w:tc>
          <w:tcPr>
            <w:tcW w:w="2445" w:type="dxa"/>
            <w:shd w:val="clear" w:color="auto" w:fill="auto"/>
          </w:tcPr>
          <w:p w14:paraId="1ED0B27B" w14:textId="25DD7D9D" w:rsidR="00770A86" w:rsidRDefault="00D6127E" w:rsidP="008554F9">
            <w:r>
              <w:t>Advanced beginner</w:t>
            </w:r>
            <w:r w:rsidR="00770A86">
              <w:t xml:space="preserve"> </w:t>
            </w:r>
          </w:p>
        </w:tc>
        <w:tc>
          <w:tcPr>
            <w:tcW w:w="2790" w:type="dxa"/>
            <w:shd w:val="clear" w:color="auto" w:fill="auto"/>
          </w:tcPr>
          <w:p w14:paraId="475BD5E6" w14:textId="08164965" w:rsidR="00770A86" w:rsidRDefault="00E94EDE" w:rsidP="008554F9">
            <w:r>
              <w:t>Safety, behaviour, professionalism issues</w:t>
            </w:r>
          </w:p>
        </w:tc>
        <w:tc>
          <w:tcPr>
            <w:tcW w:w="2907" w:type="dxa"/>
            <w:shd w:val="clear" w:color="auto" w:fill="auto"/>
          </w:tcPr>
          <w:p w14:paraId="2929C1C1" w14:textId="57FAB674" w:rsidR="00770A86" w:rsidRDefault="00D163EC" w:rsidP="008554F9">
            <w:r>
              <w:t>Beginner</w:t>
            </w:r>
          </w:p>
        </w:tc>
      </w:tr>
      <w:tr w:rsidR="0011686D" w14:paraId="4BEE63C6" w14:textId="77777777" w:rsidTr="7A165A13">
        <w:tc>
          <w:tcPr>
            <w:tcW w:w="1208" w:type="dxa"/>
            <w:shd w:val="clear" w:color="auto" w:fill="auto"/>
          </w:tcPr>
          <w:p w14:paraId="5C3E4059" w14:textId="77777777" w:rsidR="00770A86" w:rsidRDefault="0011686D" w:rsidP="008554F9">
            <w:pPr>
              <w:rPr>
                <w:b/>
                <w:bCs/>
              </w:rPr>
            </w:pPr>
            <w:r>
              <w:rPr>
                <w:b/>
                <w:bCs/>
              </w:rPr>
              <w:t>2 – MPT 2</w:t>
            </w:r>
          </w:p>
          <w:p w14:paraId="5103FAC3" w14:textId="3A1EA4B6" w:rsidR="0011686D" w:rsidRPr="0005790F" w:rsidRDefault="0011686D" w:rsidP="008554F9">
            <w:pPr>
              <w:rPr>
                <w:b/>
                <w:bCs/>
              </w:rPr>
            </w:pPr>
            <w:r>
              <w:rPr>
                <w:b/>
                <w:bCs/>
              </w:rPr>
              <w:t>Fall, slot 1</w:t>
            </w:r>
          </w:p>
        </w:tc>
        <w:tc>
          <w:tcPr>
            <w:tcW w:w="2445" w:type="dxa"/>
            <w:shd w:val="clear" w:color="auto" w:fill="auto"/>
          </w:tcPr>
          <w:p w14:paraId="20B7D924" w14:textId="56208117" w:rsidR="00770A86" w:rsidRDefault="00770A86" w:rsidP="008554F9">
            <w:r>
              <w:t>Intermediat</w:t>
            </w:r>
            <w:r w:rsidR="00D6127E">
              <w:t>e</w:t>
            </w:r>
            <w:r w:rsidR="00E56B4F">
              <w:t xml:space="preserve"> </w:t>
            </w:r>
          </w:p>
        </w:tc>
        <w:tc>
          <w:tcPr>
            <w:tcW w:w="2790" w:type="dxa"/>
            <w:shd w:val="clear" w:color="auto" w:fill="auto"/>
          </w:tcPr>
          <w:p w14:paraId="48120CCC" w14:textId="3CFB26D4" w:rsidR="00770A86" w:rsidRDefault="00E56B4F" w:rsidP="008554F9">
            <w:r>
              <w:t>Between beginner/</w:t>
            </w:r>
            <w:r w:rsidR="00F505AB">
              <w:t xml:space="preserve">Advanced Beginner </w:t>
            </w:r>
          </w:p>
        </w:tc>
        <w:tc>
          <w:tcPr>
            <w:tcW w:w="2907" w:type="dxa"/>
            <w:shd w:val="clear" w:color="auto" w:fill="auto"/>
          </w:tcPr>
          <w:p w14:paraId="7781DC53" w14:textId="113CD5E4" w:rsidR="00770A86" w:rsidRDefault="00D163EC" w:rsidP="008554F9">
            <w:r>
              <w:t>Advanced Beginner</w:t>
            </w:r>
            <w:r w:rsidR="00F505AB">
              <w:t xml:space="preserve"> </w:t>
            </w:r>
          </w:p>
        </w:tc>
      </w:tr>
      <w:tr w:rsidR="0011686D" w14:paraId="2281D7BA" w14:textId="77777777" w:rsidTr="7A165A13">
        <w:tc>
          <w:tcPr>
            <w:tcW w:w="1208" w:type="dxa"/>
            <w:shd w:val="clear" w:color="auto" w:fill="auto"/>
          </w:tcPr>
          <w:p w14:paraId="13767414" w14:textId="6CF8B1A3" w:rsidR="00770A86" w:rsidRPr="0005790F" w:rsidRDefault="0011686D" w:rsidP="008554F9">
            <w:pPr>
              <w:rPr>
                <w:b/>
                <w:bCs/>
              </w:rPr>
            </w:pPr>
            <w:r>
              <w:rPr>
                <w:b/>
                <w:bCs/>
              </w:rPr>
              <w:t>3 – MPT 2 Fall, slot 2</w:t>
            </w:r>
          </w:p>
        </w:tc>
        <w:tc>
          <w:tcPr>
            <w:tcW w:w="2445" w:type="dxa"/>
            <w:shd w:val="clear" w:color="auto" w:fill="auto"/>
          </w:tcPr>
          <w:p w14:paraId="424FF23D" w14:textId="0474D211" w:rsidR="00770A86" w:rsidRDefault="0011686D" w:rsidP="008554F9">
            <w:r>
              <w:t xml:space="preserve">Between </w:t>
            </w:r>
            <w:r w:rsidR="00E94EDE">
              <w:t>Intermediate</w:t>
            </w:r>
            <w:r>
              <w:t>/advanced intermediate</w:t>
            </w:r>
          </w:p>
        </w:tc>
        <w:tc>
          <w:tcPr>
            <w:tcW w:w="2790" w:type="dxa"/>
            <w:shd w:val="clear" w:color="auto" w:fill="auto"/>
          </w:tcPr>
          <w:p w14:paraId="100CF93C" w14:textId="611C9F3E" w:rsidR="00770A86" w:rsidRDefault="00E56B4F" w:rsidP="008554F9">
            <w:r>
              <w:t>Advanced beginner</w:t>
            </w:r>
          </w:p>
        </w:tc>
        <w:tc>
          <w:tcPr>
            <w:tcW w:w="2907" w:type="dxa"/>
            <w:shd w:val="clear" w:color="auto" w:fill="auto"/>
          </w:tcPr>
          <w:p w14:paraId="5CC23BED" w14:textId="53319421" w:rsidR="00770A86" w:rsidRDefault="00E14D91" w:rsidP="008554F9">
            <w:r>
              <w:t xml:space="preserve">Between Adv. Beginner and </w:t>
            </w:r>
            <w:r w:rsidR="00074D67">
              <w:t>Intermediate</w:t>
            </w:r>
            <w:r w:rsidR="00F505AB">
              <w:t xml:space="preserve"> </w:t>
            </w:r>
          </w:p>
        </w:tc>
      </w:tr>
      <w:tr w:rsidR="0011686D" w14:paraId="16AC91CC" w14:textId="77777777" w:rsidTr="7A165A13">
        <w:tc>
          <w:tcPr>
            <w:tcW w:w="1208" w:type="dxa"/>
            <w:shd w:val="clear" w:color="auto" w:fill="auto"/>
          </w:tcPr>
          <w:p w14:paraId="6A3DD23C" w14:textId="360207F6" w:rsidR="00770A86" w:rsidRPr="0005790F" w:rsidRDefault="0011686D" w:rsidP="008554F9">
            <w:pPr>
              <w:rPr>
                <w:b/>
                <w:bCs/>
              </w:rPr>
            </w:pPr>
            <w:r>
              <w:rPr>
                <w:b/>
                <w:bCs/>
              </w:rPr>
              <w:t>4 – MPT 2, spring 1</w:t>
            </w:r>
            <w:r w:rsidRPr="0011686D">
              <w:rPr>
                <w:b/>
                <w:bCs/>
                <w:vertAlign w:val="superscript"/>
              </w:rPr>
              <w:t>st</w:t>
            </w:r>
            <w:r>
              <w:rPr>
                <w:b/>
                <w:bCs/>
              </w:rPr>
              <w:t xml:space="preserve"> placement</w:t>
            </w:r>
          </w:p>
        </w:tc>
        <w:tc>
          <w:tcPr>
            <w:tcW w:w="2445" w:type="dxa"/>
            <w:shd w:val="clear" w:color="auto" w:fill="auto"/>
          </w:tcPr>
          <w:p w14:paraId="60B73591" w14:textId="7F66758B" w:rsidR="00770A86" w:rsidRDefault="0011686D" w:rsidP="008554F9">
            <w:r>
              <w:t>Advanced Intermediate</w:t>
            </w:r>
            <w:r w:rsidR="00E94EDE">
              <w:t xml:space="preserve"> </w:t>
            </w:r>
          </w:p>
        </w:tc>
        <w:tc>
          <w:tcPr>
            <w:tcW w:w="2790" w:type="dxa"/>
            <w:shd w:val="clear" w:color="auto" w:fill="auto"/>
          </w:tcPr>
          <w:p w14:paraId="6F8ED97C" w14:textId="195A5E3D" w:rsidR="00770A86" w:rsidRDefault="0065323B" w:rsidP="008554F9">
            <w:r>
              <w:t>Between Advanced beginner/</w:t>
            </w:r>
            <w:r w:rsidR="008C02FA">
              <w:t>Intermediate</w:t>
            </w:r>
          </w:p>
        </w:tc>
        <w:tc>
          <w:tcPr>
            <w:tcW w:w="2907" w:type="dxa"/>
            <w:shd w:val="clear" w:color="auto" w:fill="auto"/>
          </w:tcPr>
          <w:p w14:paraId="563A53C5" w14:textId="1ECC2A55" w:rsidR="00770A86" w:rsidRDefault="00CB11D0" w:rsidP="008554F9">
            <w:r>
              <w:t>Intermediate</w:t>
            </w:r>
            <w:r w:rsidR="00F505AB">
              <w:t xml:space="preserve"> </w:t>
            </w:r>
          </w:p>
        </w:tc>
      </w:tr>
      <w:tr w:rsidR="0011686D" w14:paraId="3B76E6F5" w14:textId="77777777" w:rsidTr="7A165A13">
        <w:tc>
          <w:tcPr>
            <w:tcW w:w="1208" w:type="dxa"/>
            <w:shd w:val="clear" w:color="auto" w:fill="auto"/>
          </w:tcPr>
          <w:p w14:paraId="756201CB" w14:textId="58E83D36" w:rsidR="00770A86" w:rsidRPr="0005790F" w:rsidRDefault="0011686D" w:rsidP="008554F9">
            <w:pPr>
              <w:rPr>
                <w:b/>
                <w:bCs/>
              </w:rPr>
            </w:pPr>
            <w:r>
              <w:rPr>
                <w:b/>
                <w:bCs/>
              </w:rPr>
              <w:t>5 – MPT2, spring 2</w:t>
            </w:r>
            <w:r w:rsidRPr="0011686D">
              <w:rPr>
                <w:b/>
                <w:bCs/>
                <w:vertAlign w:val="superscript"/>
              </w:rPr>
              <w:t>nd</w:t>
            </w:r>
            <w:r>
              <w:rPr>
                <w:b/>
                <w:bCs/>
              </w:rPr>
              <w:t xml:space="preserve"> placement</w:t>
            </w:r>
          </w:p>
        </w:tc>
        <w:tc>
          <w:tcPr>
            <w:tcW w:w="2445" w:type="dxa"/>
            <w:shd w:val="clear" w:color="auto" w:fill="auto"/>
          </w:tcPr>
          <w:p w14:paraId="4BEBBBE9" w14:textId="1FA5970A" w:rsidR="00770A86" w:rsidRDefault="00770A86" w:rsidP="008554F9">
            <w:r>
              <w:t>Entry Level</w:t>
            </w:r>
          </w:p>
        </w:tc>
        <w:tc>
          <w:tcPr>
            <w:tcW w:w="2790" w:type="dxa"/>
            <w:shd w:val="clear" w:color="auto" w:fill="auto"/>
          </w:tcPr>
          <w:p w14:paraId="2D94BA87" w14:textId="41FA5272" w:rsidR="00770A86" w:rsidRDefault="002522D0" w:rsidP="008554F9">
            <w:r>
              <w:t xml:space="preserve">Between </w:t>
            </w:r>
            <w:r w:rsidR="00770A86">
              <w:t>Intermediate</w:t>
            </w:r>
            <w:r>
              <w:t>/advanced intermediate</w:t>
            </w:r>
          </w:p>
        </w:tc>
        <w:tc>
          <w:tcPr>
            <w:tcW w:w="2907" w:type="dxa"/>
            <w:shd w:val="clear" w:color="auto" w:fill="auto"/>
          </w:tcPr>
          <w:p w14:paraId="3DC4A190" w14:textId="33AD92D6" w:rsidR="00770A86" w:rsidRDefault="00F505AB" w:rsidP="008554F9">
            <w:r>
              <w:t xml:space="preserve">Advanced intermediate </w:t>
            </w:r>
          </w:p>
        </w:tc>
      </w:tr>
    </w:tbl>
    <w:p w14:paraId="67AB78F9" w14:textId="384CE2E4" w:rsidR="003F696B" w:rsidRDefault="003F696B" w:rsidP="00D25982"/>
    <w:sectPr w:rsidR="003F696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97628" w14:textId="77777777" w:rsidR="001F4161" w:rsidRDefault="001F4161" w:rsidP="0004023E">
      <w:pPr>
        <w:spacing w:after="0" w:line="240" w:lineRule="auto"/>
      </w:pPr>
      <w:r>
        <w:separator/>
      </w:r>
    </w:p>
  </w:endnote>
  <w:endnote w:type="continuationSeparator" w:id="0">
    <w:p w14:paraId="0D058DAB" w14:textId="77777777" w:rsidR="001F4161" w:rsidRDefault="001F4161" w:rsidP="0004023E">
      <w:pPr>
        <w:spacing w:after="0" w:line="240" w:lineRule="auto"/>
      </w:pPr>
      <w:r>
        <w:continuationSeparator/>
      </w:r>
    </w:p>
  </w:endnote>
  <w:endnote w:type="continuationNotice" w:id="1">
    <w:p w14:paraId="32E54C99" w14:textId="77777777" w:rsidR="00E60357" w:rsidRDefault="00E60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A80B" w14:textId="08B538C6" w:rsidR="0004023E" w:rsidRDefault="00267F4F" w:rsidP="0004023E">
    <w:pPr>
      <w:pStyle w:val="Footer"/>
      <w:jc w:val="right"/>
    </w:pPr>
    <w:r>
      <w:t xml:space="preserve">Developed </w:t>
    </w:r>
    <w:r w:rsidR="00C90B77">
      <w:t xml:space="preserve">October 2022, revised </w:t>
    </w:r>
    <w:r w:rsidR="004677B4">
      <w:t>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A9CA6" w14:textId="77777777" w:rsidR="001F4161" w:rsidRDefault="001F4161" w:rsidP="0004023E">
      <w:pPr>
        <w:spacing w:after="0" w:line="240" w:lineRule="auto"/>
      </w:pPr>
      <w:r>
        <w:separator/>
      </w:r>
    </w:p>
  </w:footnote>
  <w:footnote w:type="continuationSeparator" w:id="0">
    <w:p w14:paraId="6EB03438" w14:textId="77777777" w:rsidR="001F4161" w:rsidRDefault="001F4161" w:rsidP="0004023E">
      <w:pPr>
        <w:spacing w:after="0" w:line="240" w:lineRule="auto"/>
      </w:pPr>
      <w:r>
        <w:continuationSeparator/>
      </w:r>
    </w:p>
  </w:footnote>
  <w:footnote w:type="continuationNotice" w:id="1">
    <w:p w14:paraId="45C93AD3" w14:textId="77777777" w:rsidR="00E60357" w:rsidRDefault="00E603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82"/>
    <w:rsid w:val="0004023E"/>
    <w:rsid w:val="0005790F"/>
    <w:rsid w:val="0006680C"/>
    <w:rsid w:val="00074D67"/>
    <w:rsid w:val="00111B19"/>
    <w:rsid w:val="0011686D"/>
    <w:rsid w:val="001F4161"/>
    <w:rsid w:val="002522D0"/>
    <w:rsid w:val="00267F4F"/>
    <w:rsid w:val="002B381A"/>
    <w:rsid w:val="00307093"/>
    <w:rsid w:val="00374F9E"/>
    <w:rsid w:val="00396FF9"/>
    <w:rsid w:val="003C6FDE"/>
    <w:rsid w:val="003F696B"/>
    <w:rsid w:val="004677B4"/>
    <w:rsid w:val="004E55D1"/>
    <w:rsid w:val="005A5A05"/>
    <w:rsid w:val="00614276"/>
    <w:rsid w:val="006414A0"/>
    <w:rsid w:val="0065323B"/>
    <w:rsid w:val="006763A5"/>
    <w:rsid w:val="00684C73"/>
    <w:rsid w:val="006D2239"/>
    <w:rsid w:val="00770A86"/>
    <w:rsid w:val="007E25A8"/>
    <w:rsid w:val="008554F9"/>
    <w:rsid w:val="0087070F"/>
    <w:rsid w:val="0088363F"/>
    <w:rsid w:val="008C02FA"/>
    <w:rsid w:val="0097062E"/>
    <w:rsid w:val="00977FDB"/>
    <w:rsid w:val="00A07A03"/>
    <w:rsid w:val="00A76D42"/>
    <w:rsid w:val="00AD6DFB"/>
    <w:rsid w:val="00B24237"/>
    <w:rsid w:val="00C35686"/>
    <w:rsid w:val="00C90B77"/>
    <w:rsid w:val="00CB11D0"/>
    <w:rsid w:val="00D163EC"/>
    <w:rsid w:val="00D25982"/>
    <w:rsid w:val="00D36D01"/>
    <w:rsid w:val="00D6127E"/>
    <w:rsid w:val="00E14D91"/>
    <w:rsid w:val="00E56B4F"/>
    <w:rsid w:val="00E60357"/>
    <w:rsid w:val="00E94EDE"/>
    <w:rsid w:val="00F505AB"/>
    <w:rsid w:val="00FB2462"/>
    <w:rsid w:val="00FB6C84"/>
    <w:rsid w:val="7A165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9A2C6"/>
  <w15:chartTrackingRefBased/>
  <w15:docId w15:val="{5950CE90-89EF-4134-BD1E-CEC2CE10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3E"/>
  </w:style>
  <w:style w:type="paragraph" w:styleId="Footer">
    <w:name w:val="footer"/>
    <w:basedOn w:val="Normal"/>
    <w:link w:val="FooterChar"/>
    <w:uiPriority w:val="99"/>
    <w:unhideWhenUsed/>
    <w:rsid w:val="0004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94c21-ec51-4ae1-b099-c4f520c8db40" xsi:nil="true"/>
    <lcf76f155ced4ddcb4097134ff3c332f xmlns="1499e0b2-5c0f-4226-8611-f438ae57af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67630D3034898E7EA94F61A640C" ma:contentTypeVersion="17" ma:contentTypeDescription="Create a new document." ma:contentTypeScope="" ma:versionID="dce02a8caeea722da7c17286436e3707">
  <xsd:schema xmlns:xsd="http://www.w3.org/2001/XMLSchema" xmlns:xs="http://www.w3.org/2001/XMLSchema" xmlns:p="http://schemas.microsoft.com/office/2006/metadata/properties" xmlns:ns2="1499e0b2-5c0f-4226-8611-f438ae57af31" xmlns:ns3="f6b94c21-ec51-4ae1-b099-c4f520c8db40" targetNamespace="http://schemas.microsoft.com/office/2006/metadata/properties" ma:root="true" ma:fieldsID="d73a7e2cd2a864453fd3046bc2035d16" ns2:_="" ns3:_="">
    <xsd:import namespace="1499e0b2-5c0f-4226-8611-f438ae57af31"/>
    <xsd:import namespace="f6b94c21-ec51-4ae1-b099-c4f520c8db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9e0b2-5c0f-4226-8611-f438ae57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94c21-ec51-4ae1-b099-c4f520c8db4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a3496d-c1f3-4c45-bd52-03fe77bbff4d}" ma:internalName="TaxCatchAll" ma:showField="CatchAllData" ma:web="f6b94c21-ec51-4ae1-b099-c4f520c8d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E82F-30E1-4000-9F63-EB225081D9F8}">
  <ds:schemaRefs>
    <ds:schemaRef ds:uri="http://schemas.microsoft.com/office/2006/metadata/properties"/>
    <ds:schemaRef ds:uri="http://schemas.microsoft.com/office/infopath/2007/PartnerControls"/>
    <ds:schemaRef ds:uri="f6b94c21-ec51-4ae1-b099-c4f520c8db40"/>
    <ds:schemaRef ds:uri="1499e0b2-5c0f-4226-8611-f438ae57af31"/>
  </ds:schemaRefs>
</ds:datastoreItem>
</file>

<file path=customXml/itemProps2.xml><?xml version="1.0" encoding="utf-8"?>
<ds:datastoreItem xmlns:ds="http://schemas.openxmlformats.org/officeDocument/2006/customXml" ds:itemID="{91FF7036-BA75-4840-B6AE-2AE65E32A4A1}">
  <ds:schemaRefs>
    <ds:schemaRef ds:uri="http://schemas.microsoft.com/sharepoint/v3/contenttype/forms"/>
  </ds:schemaRefs>
</ds:datastoreItem>
</file>

<file path=customXml/itemProps3.xml><?xml version="1.0" encoding="utf-8"?>
<ds:datastoreItem xmlns:ds="http://schemas.openxmlformats.org/officeDocument/2006/customXml" ds:itemID="{4AC37F60-EF42-4FD8-9548-CF096AD63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9e0b2-5c0f-4226-8611-f438ae57af31"/>
    <ds:schemaRef ds:uri="f6b94c21-ec51-4ae1-b099-c4f520c8d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25EDF-E02E-4D8F-AD0F-AF15FE48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4</DocSecurity>
  <Lines>12</Lines>
  <Paragraphs>3</Paragraphs>
  <ScaleCrop>false</ScaleCrop>
  <Company>Rady Faculty of Health Sciences</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Codispodi</dc:creator>
  <cp:keywords/>
  <dc:description/>
  <cp:lastModifiedBy>Kelly Codispodi</cp:lastModifiedBy>
  <cp:revision>17</cp:revision>
  <cp:lastPrinted>2022-06-17T16:30:00Z</cp:lastPrinted>
  <dcterms:created xsi:type="dcterms:W3CDTF">2022-10-03T13:53:00Z</dcterms:created>
  <dcterms:modified xsi:type="dcterms:W3CDTF">2023-11-21T17:47:00Z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http://www.zotero.org/styles/circulation</vt:lpwstr>
  </property>
  <property fmtid="{D5CDD505-2E9C-101B-9397-08002B2CF9AE}" pid="11" name="Mendeley Recent Style Name 4_1">
    <vt:lpwstr>Circulation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d9ff9042-0222-3f9f-82e8-8e872cb1876f</vt:lpwstr>
  </property>
  <property fmtid="{D5CDD505-2E9C-101B-9397-08002B2CF9AE}" pid="24" name="Mendeley Citation Style_1">
    <vt:lpwstr>http://www.zotero.org/styles/circulation</vt:lpwstr>
  </property>
  <property fmtid="{D5CDD505-2E9C-101B-9397-08002B2CF9AE}" pid="25" name="ContentTypeId">
    <vt:lpwstr>0x010100BE84F67630D3034898E7EA94F61A640C</vt:lpwstr>
  </property>
  <property fmtid="{D5CDD505-2E9C-101B-9397-08002B2CF9AE}" pid="26" name="MediaServiceImageTags">
    <vt:lpwstr/>
  </property>
</Properties>
</file>